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33 vom 12. Mai 2021</w:t>
      </w:r>
    </w:p>
    <w:p>
      <w:r>
        <w:t>GR Gerichte, 2021-05-12, DE</w:t>
      </w:r>
    </w:p>
    <w:p>
      <w:r>
        <w:rPr>
          <w:b/>
        </w:rPr>
        <w:t xml:space="preserve">Quelle: </w:t>
      </w:r>
      <w:r>
        <w:t>https://mcp.opencaselaw.ch/entscheid/gr_gerichte_SK2 2021 33</w:t>
      </w:r>
    </w:p>
    <w:p>
      <w:r>
        <w:t>FR: GR_GERICHTE SK2 2021 33 du 12 mai 2021</w:t>
      </w:r>
    </w:p>
    <w:p>
      <w:r>
        <w:t>IT: GR_GERICHTE SK2 2021 33 del 12 maggio 2021</w:t>
      </w:r>
    </w:p>
    <w:p>
      <w:pPr>
        <w:pStyle w:val="Heading2"/>
      </w:pPr>
      <w:r>
        <w:t>Regeste</w:t>
      </w:r>
    </w:p>
    <w:p>
      <w:r>
        <w:t>Amtsmissbrauch | Beschwerde gegen StA, Nichtanhandnahmeverfügung StPO 310 (früher Ablehnungsverfügung)</w:t>
      </w:r>
    </w:p>
    <w:p>
      <w:pPr>
        <w:pStyle w:val="Heading2"/>
      </w:pPr>
      <w:r>
        <w:t>Volltext</w:t>
      </w:r>
    </w:p>
    <w:p>
      <w:r>
        <w:t>Kantonsgericht von Graubünden Dretgira chantunala dal Grischun Tribunale cantonale dei Grigioni Verfügung vom 12. Mai 2021 (Mit Urteil 6B_723/2021 vom 21. Juli 2021 ist das Bundesgericht auf die gegen dieses Verfügung erhobene Beschwerde nicht eingetreten.) Referenz SK2 21 33 Instanz II. Strafkammer Besetzung Hubert, Vorsitzender Parteien A._____ Beschwerdeführer gegen B._____ Beschwerdegegner C._____ Beschwerdegegner Gegenstand Amtsmissbrauch Anfechtungsobj. Nichtanhandnahmeverfügung Staatsanwaltschaft Graubünden vom 01.04.2021, mitgeteilt am 01.04.2021 (Proz. Nr. EK.2021.832) Mitteilung 17. Mai 2021</w:t>
      </w:r>
    </w:p>
    <w:p>
      <w:r>
        <w:t>2 / 6 In Erwägung, – dass A.________ und D.________ am 4. Februar 2021 bei der Staatsanwalt- schaft Graubünden gegen B._____ und C._____ "Strafantrag" wegen "Amts- missbrauch, Verletzung von Treu und Glauben (Vertrauensschutz) und Behördenwillkür" einreichten, – dass sie im Wesentlichen beanstandeten, die Beschuldigten hätten sich als Mitarbeiter des Grundbuchinspektorats und Handelsregisters Graubünden in einem Verfahren betreffend Gewerbefeststellung geweigert, die Bedeutung des Begriffs "standardisierter ÖLN-Betrieb in der Talzone" zu erläutern, – dass sie dadurch genötigt worden seien, einen Prozess zu riskieren, ohne dessen Ausgang abschätzen zu können, – dass sich A._____ am 17. März 2021 als Privatkläger im Straf- und Zivilpunkt konstituierte, – dass die Staatsanwaltschaft am 1. April 2021 gestützt auf Art. 310 Abs. 1 lit. a StPO verfügte, es werde kein Strafverfahren an die Hand genommen, – dass sie begründend ausführte, soweit die Anzeigeerstatter eine "krasse Ver- letzung von Treu und Glauben betreffend Vertrauensschutz Art. 5 Abs. 3 BV" und "Behördenwillkür Art. 9 BV" rügten, handle es sich um keine gesetzlichen Straftatbestände, welche allein Gegenstand einer Strafuntersuchung sein könnten, – dass auch kein ausreichender Tatverdacht für die Eröffnung eines Strafverfah- rens wegen Amtsmissbrauchs vorliege, zumal über das Gesuch des Anzeige- erstatters mit Feststellungsverfügung entschieden worden sei, – dass diese Feststellungsverfügung auf dem Rechtsmittelweg hätte angefoch- ten werden können und das Strafverfahren keine Ersatzmöglichkeit biete, um sich gegen nicht genehme Entscheide von Behörden zu wehren, – dass daher auch nicht ersichtlich sei, inwieweit das Schreiben von B._____ vom 14. Januar 2021, mit welchem auf den rechtskräftigen Abschluss des be- treffenden Verfahrens hingewiesen worden sei, einen Missbrauch der Amts- gewalt im Sinne von Art. 312 StGB darstellen solle, – dass damit kein ausreichender Tatverdacht zur Eröffnung eines Strafverfah- rens vorliege, weshalb eine solche abgelehnt werde,</w:t>
      </w:r>
    </w:p>
    <w:p>
      <w:r>
        <w:t>3 / 6 – dass A._____ gegen die Nichtanhandnahmeverfügung am 14. April 2021 Be- schwerde beim Kantonsgericht von Graubünden erhob, – dass eine strafrechtliche Beschwerde gemäss Art. 393 ff. StPO zu begründen ist (Art. 396 StPO), – dass in der Begründung genau anzugeben ist, welche Punkte des Entscheids angefochten werden, welche Gründe einen anderen Entscheid nahelegen und welche Beweismittel angerufen werden (Art. 385 Abs. 1 StPO), – dass sich die Beschwerdebegründung zumindest in minimaler Form mit der angefochtenen Verfügung auseinanderzusetzen hat (vgl. Patrick Guidon, Die Beschwerde gemäss Schweizerischer Strafprozessordnung, Zürich/St. Gallen 2011, Rz 392 mit Hinweis auf BGE 131 II 449 E. 1.3), – dass es daran mangelt, wenn die Richtigkeit der tatsächlichen oder rechtlichen Erwägungen der angefochtenen Verfügung bloss pauschal bestritten wird, – dass auch von einem Laien eine fristgerechte und rechtsgenügend begründe- te Beschwerdeschrift erwartet werden kann (vgl. Urteil des Bundesgerichts 6B_872/2013 vom 17. Oktober 2013 E. 3; Patrick Guidon, in: Nigg- li/Heer/Wiprächtiger [Hrsg.], Basler Kommentar StPO, 2. Auflage, Basel 2014, N 9e zu Art. 396 StPO), – dass der Beschwerdeführer weder in seinen Anträgen noch in der Begründung auf die angefochtene Nichtanhandnahmeverfügung eingeht, geschweige denn sich mit deren Erwägungen rechtsgenügend auseinandersetzt, – dass er namentlich nicht weiter substantiiert, inwieweit das den Beschuldigten vorgeworfene Verhalten entgegen den Erwägungen der Staatsanwaltschaft einen Straftatbestand, insbesondere jenen des Amtsmissbrauchs erfüllen soll, – dass er vielmehr rein appellatorische Kritik übt und die bereits in der Strafan- zeige erhobenen Vorwürfe wiederholt, – dass damit die Beschwerde den gesetzlichen Begründungsanforderungen nicht genügt, weshalb darauf nicht einzutreten ist, – dass im Übrigen nicht ansatzweise erkennbar ist, inwieweit durch das den Be- schuldigten vorgeworfene Verhalten ein Straftatbestand erfüllt sein soll, womit die Beschwerde bei einem Eintreten ohnehin abzuweisen wäre,</w:t>
      </w:r>
    </w:p>
    <w:p>
      <w:r>
        <w:t>4 / 6 – dass sich der gegen die Beschuldigten erhobene Vorwurf im Wesentlichen darin erschöpft, im Verfahren betreffend Gewerbefeststellung Auskünfte ver- weigert zu haben, – dass die Beschuldigten die Auskunftsverweigerung damit begründeten, dass es sich um ein laufendes Verfahren handle, in welchem die Gesuchsteller an- waltlich vertreten seien, weshalb das Amt nur über den Rechtsvertreter korre- spondiere (Akten Staatsanwaltschaft, Anhang zu act. 7 [Email-Korrespon- denz]; Akten Kantonsgericht, Beilagen 4,16 und 24 zur Beschwerde), – dass dieses Vorgehen den Regeln über ein faires Verfahren entspricht und im Interesse der Rechtssuchenden sowie der Verfahrensökonomie und Rechtssi- cherheit liegt und somit sachlich begründet ist, – dass ausserdem nach Erlass eines einmal gefällten Entscheids eine Behörde grundsätzlich nicht mehr gehalten ist, darüber zu korrespondieren und die Par- teien auf den Rechtsmittelweg zu verweisen sind, – dass Ausnahmen hierzu im Ermessen der mit der Angelegenheit betrauten Behördenmitglieder liegen, – dass selbst eine allenfalls (zu) formalistische Handhabung dieser Grundsätze keinen Straftatbestand erfüllen würde und im Rahmen eines Rechtsmittels ge- gen den in der Sache gefällten Entscheid zu beanstanden wäre, – dass damit die vorliegende Beschwerde bei einem Eintreten (quod non) ab- zuweisen wäre, – dass bei diesem Ausgang des Verfahrens der Beschwerdeführer kostenpflich- tig wird (Art. 428 Abs. 1 StPO), – dass nach Art. 8 der Verordnung über die Gerichtsgebühren in Strafverfahren (VGS; BR 350.210) für Entscheide im Beschwerdeverfahren eine Gebühr zwi- schen CHF 1'000.00 und CHF 5'000.00 zu erheben ist, – dass vorliegend eine Gerichtsgebühr von CHF 1'000.00 als angemessen er- scheint, – dass keine Parteientschädigungen zugesprochen werden, zumal von den Be- schwerdegegnern keine Stellungnahmen eingeholt wurden und diesen somit kein nennenswerter Aufwand entstanden ist,</w:t>
      </w:r>
    </w:p>
    <w:p>
      <w:r>
        <w:t>5 / 6 – dass der vorliegende Entscheid gestützt auf Art. 18 Abs. 3 des Gerichtsorga- nisationsgesetzes (GOG; BR 173.000) in einzelrichterlicher Kompetenz er- geht,</w:t>
      </w:r>
    </w:p>
    <w:p>
      <w:r>
        <w:t>6 / 6 wird erkannt: 1. Auf die Beschwerde wird nicht eingetreten. 2. Die Verfahrenskosten von CHF 1'000.00 gehen zu Lasten von A._____ und werden mit der von ihm erbrachten Sicherheitsleistung von CHF 2'000.00 verrechnet. 3. Es werden keine Parteientschädigungen zugesprochen. 4.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